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50347" w14:textId="19366DB1" w:rsidR="009F6B71" w:rsidRDefault="00356005" w:rsidP="00356005">
      <w:pPr>
        <w:jc w:val="center"/>
        <w:rPr>
          <w:rFonts w:ascii="Calibri" w:hAnsi="Calibri" w:cs="Calibri"/>
          <w:sz w:val="48"/>
          <w:szCs w:val="48"/>
        </w:rPr>
      </w:pPr>
      <w:r w:rsidRPr="00356005">
        <w:rPr>
          <w:rFonts w:ascii="Calibri" w:hAnsi="Calibri" w:cs="Calibri"/>
          <w:sz w:val="48"/>
          <w:szCs w:val="48"/>
        </w:rPr>
        <w:t>One Big Beautiful Bill Act Impacts</w:t>
      </w:r>
    </w:p>
    <w:p w14:paraId="0110023A" w14:textId="37471506" w:rsidR="00356005" w:rsidRDefault="00356005" w:rsidP="00356005">
      <w:pPr>
        <w:jc w:val="center"/>
        <w:rPr>
          <w:rFonts w:ascii="Calibri" w:hAnsi="Calibri" w:cs="Calibri"/>
          <w:sz w:val="40"/>
          <w:szCs w:val="40"/>
        </w:rPr>
      </w:pPr>
      <w:r>
        <w:rPr>
          <w:rFonts w:ascii="Calibri" w:hAnsi="Calibri" w:cs="Calibri"/>
          <w:sz w:val="40"/>
          <w:szCs w:val="40"/>
        </w:rPr>
        <w:t>Overview</w:t>
      </w:r>
    </w:p>
    <w:p w14:paraId="6F7A000A" w14:textId="5C391411" w:rsidR="00356005" w:rsidRPr="00356005" w:rsidRDefault="00356005" w:rsidP="00356005">
      <w:pPr>
        <w:rPr>
          <w:rFonts w:ascii="Calibri" w:hAnsi="Calibri" w:cs="Calibri"/>
        </w:rPr>
      </w:pPr>
      <w:r w:rsidRPr="00356005">
        <w:rPr>
          <w:rFonts w:ascii="Calibri" w:hAnsi="Calibri" w:cs="Calibri"/>
        </w:rPr>
        <w:t>The One Big Beautiful Bill Act (OBBB) was signed into law on July 4, 2025. It introduces major changes to federal student loans and repayment plans starting July 1, 2026. Stay informed about the big updates from the new law</w:t>
      </w:r>
      <w:r>
        <w:rPr>
          <w:rFonts w:ascii="Calibri" w:hAnsi="Calibri" w:cs="Calibri"/>
        </w:rPr>
        <w:t xml:space="preserve"> on</w:t>
      </w:r>
      <w:r w:rsidRPr="00356005">
        <w:t xml:space="preserve"> </w:t>
      </w:r>
      <w:hyperlink r:id="rId5" w:history="1">
        <w:r w:rsidRPr="00A50D61">
          <w:rPr>
            <w:rStyle w:val="Hyperlink"/>
            <w:rFonts w:ascii="Calibri" w:hAnsi="Calibri" w:cs="Calibri"/>
          </w:rPr>
          <w:t>https://studentaid.gov/announcements-events/big-updates</w:t>
        </w:r>
      </w:hyperlink>
      <w:r>
        <w:rPr>
          <w:rFonts w:ascii="Calibri" w:hAnsi="Calibri" w:cs="Calibri"/>
        </w:rPr>
        <w:t xml:space="preserve">. </w:t>
      </w:r>
    </w:p>
    <w:p w14:paraId="6F4CB5CA" w14:textId="6EE274CA" w:rsidR="00356005" w:rsidRDefault="00356005" w:rsidP="00356005">
      <w:pPr>
        <w:rPr>
          <w:rFonts w:ascii="Calibri" w:hAnsi="Calibri" w:cs="Calibri"/>
          <w:sz w:val="22"/>
          <w:szCs w:val="22"/>
        </w:rPr>
      </w:pPr>
      <w:r w:rsidRPr="00356005">
        <w:rPr>
          <w:rFonts w:ascii="Calibri" w:hAnsi="Calibri" w:cs="Calibri"/>
          <w:sz w:val="22"/>
          <w:szCs w:val="22"/>
        </w:rPr>
        <w:t>This information and related policies are subject to change as rulemaking continues, and more details are released by the Department of Education. We appreciate your patience as we continue to receive new information and additional details that will allow us to better assist you.</w:t>
      </w:r>
    </w:p>
    <w:p w14:paraId="2E6B5531" w14:textId="567E5681" w:rsidR="00356005" w:rsidRDefault="00356005" w:rsidP="00356005">
      <w:pPr>
        <w:jc w:val="center"/>
        <w:rPr>
          <w:rFonts w:ascii="Calibri" w:hAnsi="Calibri" w:cs="Calibri"/>
          <w:sz w:val="40"/>
          <w:szCs w:val="40"/>
        </w:rPr>
      </w:pPr>
      <w:r w:rsidRPr="00356005">
        <w:rPr>
          <w:rFonts w:ascii="Calibri" w:hAnsi="Calibri" w:cs="Calibri"/>
          <w:sz w:val="40"/>
          <w:szCs w:val="40"/>
        </w:rPr>
        <w:t>Federal Direct Loan Borrowing</w:t>
      </w:r>
    </w:p>
    <w:p w14:paraId="6CE6504E" w14:textId="77777777" w:rsidR="0030076E" w:rsidRDefault="002F726B" w:rsidP="00356005">
      <w:pPr>
        <w:shd w:val="clear" w:color="auto" w:fill="FFFFFF"/>
        <w:spacing w:after="100" w:afterAutospacing="1" w:line="240" w:lineRule="auto"/>
        <w:rPr>
          <w:rFonts w:ascii="Calibri" w:eastAsia="Times New Roman" w:hAnsi="Calibri" w:cs="Calibri"/>
          <w:b/>
          <w:bCs/>
          <w:color w:val="212529"/>
          <w:kern w:val="0"/>
          <w:sz w:val="28"/>
          <w:szCs w:val="28"/>
          <w14:ligatures w14:val="none"/>
        </w:rPr>
      </w:pPr>
      <w:r w:rsidRPr="002F726B">
        <w:rPr>
          <w:rFonts w:ascii="Calibri" w:eastAsia="Times New Roman" w:hAnsi="Calibri" w:cs="Calibri"/>
          <w:b/>
          <w:bCs/>
          <w:color w:val="212529"/>
          <w:kern w:val="0"/>
          <w:sz w:val="28"/>
          <w:szCs w:val="28"/>
          <w14:ligatures w14:val="none"/>
        </w:rPr>
        <w:t>Undergraduate Students</w:t>
      </w:r>
    </w:p>
    <w:p w14:paraId="414FF43F" w14:textId="2FFF36CE" w:rsidR="00356005" w:rsidRPr="002F726B" w:rsidRDefault="00356005" w:rsidP="00356005">
      <w:pPr>
        <w:shd w:val="clear" w:color="auto" w:fill="FFFFFF"/>
        <w:spacing w:after="100" w:afterAutospacing="1" w:line="240" w:lineRule="auto"/>
        <w:rPr>
          <w:rFonts w:ascii="Calibri" w:eastAsia="Times New Roman" w:hAnsi="Calibri" w:cs="Calibri"/>
          <w:color w:val="212529"/>
          <w:kern w:val="0"/>
          <w14:ligatures w14:val="none"/>
        </w:rPr>
      </w:pPr>
      <w:r w:rsidRPr="00356005">
        <w:rPr>
          <w:rFonts w:ascii="Calibri" w:eastAsia="Times New Roman" w:hAnsi="Calibri" w:cs="Calibri"/>
          <w:color w:val="212529"/>
          <w:kern w:val="0"/>
          <w14:ligatures w14:val="none"/>
        </w:rPr>
        <w:t>There are no changes to subsidized and unsubsidized loan </w:t>
      </w:r>
      <w:r w:rsidRPr="002F726B">
        <w:rPr>
          <w:rFonts w:ascii="Calibri" w:eastAsia="Times New Roman" w:hAnsi="Calibri" w:cs="Calibri"/>
          <w:color w:val="212529"/>
          <w:kern w:val="0"/>
          <w14:ligatures w14:val="none"/>
        </w:rPr>
        <w:t>annual limits</w:t>
      </w:r>
      <w:r w:rsidRPr="00356005">
        <w:rPr>
          <w:rFonts w:ascii="Calibri" w:eastAsia="Times New Roman" w:hAnsi="Calibri" w:cs="Calibri"/>
          <w:color w:val="212529"/>
          <w:kern w:val="0"/>
          <w14:ligatures w14:val="none"/>
        </w:rPr>
        <w:t> or </w:t>
      </w:r>
      <w:r w:rsidRPr="002F726B">
        <w:rPr>
          <w:rFonts w:ascii="Calibri" w:eastAsia="Times New Roman" w:hAnsi="Calibri" w:cs="Calibri"/>
          <w:color w:val="212529"/>
          <w:kern w:val="0"/>
          <w14:ligatures w14:val="none"/>
        </w:rPr>
        <w:t>aggregate limits</w:t>
      </w:r>
      <w:r w:rsidRPr="00356005">
        <w:rPr>
          <w:rFonts w:ascii="Calibri" w:eastAsia="Times New Roman" w:hAnsi="Calibri" w:cs="Calibri"/>
          <w:color w:val="212529"/>
          <w:kern w:val="0"/>
          <w14:ligatures w14:val="none"/>
        </w:rPr>
        <w:t> for dependent or independent undergraduates.</w:t>
      </w:r>
    </w:p>
    <w:p w14:paraId="7F3261A7" w14:textId="2D3A8878" w:rsidR="002F726B" w:rsidRPr="002F726B" w:rsidRDefault="002F726B" w:rsidP="00356005">
      <w:pPr>
        <w:shd w:val="clear" w:color="auto" w:fill="FFFFFF"/>
        <w:spacing w:after="100" w:afterAutospacing="1" w:line="240" w:lineRule="auto"/>
        <w:rPr>
          <w:rFonts w:ascii="Calibri" w:eastAsia="Times New Roman" w:hAnsi="Calibri" w:cs="Calibri"/>
          <w:b/>
          <w:bCs/>
          <w:color w:val="212529"/>
          <w:kern w:val="0"/>
          <w:sz w:val="28"/>
          <w:szCs w:val="28"/>
          <w14:ligatures w14:val="none"/>
        </w:rPr>
      </w:pPr>
      <w:r w:rsidRPr="002F726B">
        <w:rPr>
          <w:rFonts w:ascii="Calibri" w:eastAsia="Times New Roman" w:hAnsi="Calibri" w:cs="Calibri"/>
          <w:b/>
          <w:bCs/>
          <w:color w:val="212529"/>
          <w:kern w:val="0"/>
          <w:sz w:val="28"/>
          <w:szCs w:val="28"/>
          <w14:ligatures w14:val="none"/>
        </w:rPr>
        <w:t>Parents</w:t>
      </w:r>
    </w:p>
    <w:p w14:paraId="7C86BD2C" w14:textId="0A126827" w:rsidR="00356005" w:rsidRPr="002F726B" w:rsidRDefault="00356005" w:rsidP="00356005">
      <w:pPr>
        <w:shd w:val="clear" w:color="auto" w:fill="FFFFFF"/>
        <w:spacing w:after="100" w:afterAutospacing="1" w:line="240" w:lineRule="auto"/>
        <w:rPr>
          <w:rFonts w:ascii="Calibri" w:eastAsia="Times New Roman" w:hAnsi="Calibri" w:cs="Calibri"/>
          <w:color w:val="212529"/>
          <w:kern w:val="0"/>
          <w14:ligatures w14:val="none"/>
        </w:rPr>
      </w:pPr>
      <w:r w:rsidRPr="002F726B">
        <w:rPr>
          <w:rFonts w:ascii="Calibri" w:eastAsia="Times New Roman" w:hAnsi="Calibri" w:cs="Calibri"/>
          <w:color w:val="212529"/>
          <w:kern w:val="0"/>
          <w14:ligatures w14:val="none"/>
        </w:rPr>
        <w:t xml:space="preserve">Parents of dependent undergraduate students who borrow a parent PLUS loan on or after July 1, </w:t>
      </w:r>
      <w:proofErr w:type="gramStart"/>
      <w:r w:rsidRPr="002F726B">
        <w:rPr>
          <w:rFonts w:ascii="Calibri" w:eastAsia="Times New Roman" w:hAnsi="Calibri" w:cs="Calibri"/>
          <w:color w:val="212529"/>
          <w:kern w:val="0"/>
          <w14:ligatures w14:val="none"/>
        </w:rPr>
        <w:t>2026</w:t>
      </w:r>
      <w:proofErr w:type="gramEnd"/>
      <w:r w:rsidRPr="002F726B">
        <w:rPr>
          <w:rFonts w:ascii="Calibri" w:eastAsia="Times New Roman" w:hAnsi="Calibri" w:cs="Calibri"/>
          <w:color w:val="212529"/>
          <w:kern w:val="0"/>
          <w14:ligatures w14:val="none"/>
        </w:rPr>
        <w:t xml:space="preserve"> may borrow up to $20,000 per year per student with an aggregate limit of up to $65,000 per student.</w:t>
      </w:r>
    </w:p>
    <w:p w14:paraId="1A919192" w14:textId="0D23FD59" w:rsidR="00356005" w:rsidRPr="002F726B" w:rsidRDefault="00356005" w:rsidP="00356005">
      <w:pPr>
        <w:shd w:val="clear" w:color="auto" w:fill="FFFFFF"/>
        <w:spacing w:after="100" w:afterAutospacing="1" w:line="240" w:lineRule="auto"/>
        <w:rPr>
          <w:rFonts w:ascii="Calibri" w:eastAsia="Times New Roman" w:hAnsi="Calibri" w:cs="Calibri"/>
          <w:color w:val="212529"/>
          <w:kern w:val="0"/>
          <w14:ligatures w14:val="none"/>
        </w:rPr>
      </w:pPr>
      <w:r w:rsidRPr="002F726B">
        <w:rPr>
          <w:rFonts w:ascii="Calibri" w:eastAsia="Times New Roman" w:hAnsi="Calibri" w:cs="Calibri"/>
          <w:color w:val="212529"/>
          <w:kern w:val="0"/>
          <w14:ligatures w14:val="none"/>
        </w:rPr>
        <w:t>It’s important to note that these limits are combined limits — meaning if multiple parents apply for a PLUS loan for their student, the combined total for all PLUS loan borrowers cannot exceed $20,000 for the year or the $65,000 aggregate limit per student.</w:t>
      </w:r>
    </w:p>
    <w:p w14:paraId="5C8E0779" w14:textId="623667D2" w:rsidR="00356005" w:rsidRPr="00356005" w:rsidRDefault="00356005" w:rsidP="00356005">
      <w:pPr>
        <w:shd w:val="clear" w:color="auto" w:fill="FFFFFF"/>
        <w:spacing w:after="100" w:afterAutospacing="1" w:line="240" w:lineRule="auto"/>
        <w:rPr>
          <w:rFonts w:ascii="Calibri" w:eastAsia="Times New Roman" w:hAnsi="Calibri" w:cs="Calibri"/>
          <w:color w:val="212529"/>
          <w:kern w:val="0"/>
          <w14:ligatures w14:val="none"/>
        </w:rPr>
      </w:pPr>
      <w:r w:rsidRPr="002F726B">
        <w:rPr>
          <w:rFonts w:ascii="Calibri" w:eastAsia="Times New Roman" w:hAnsi="Calibri" w:cs="Calibri"/>
          <w:color w:val="212529"/>
          <w:kern w:val="0"/>
          <w14:ligatures w14:val="none"/>
        </w:rPr>
        <w:t>Under the legacy provision, parents of dependent undergraduates who have borrowed a parent PLUS loan or their student borrowed a subsidized or unsubsidized that disbursed before July 1, 2026, may be able to continue borrowing with no changes in eligibility of their annual limit for parent PLUS loans.</w:t>
      </w:r>
      <w:r w:rsidR="0030076E">
        <w:rPr>
          <w:rFonts w:ascii="Calibri" w:eastAsia="Times New Roman" w:hAnsi="Calibri" w:cs="Calibri"/>
          <w:color w:val="212529"/>
          <w:kern w:val="0"/>
          <w14:ligatures w14:val="none"/>
        </w:rPr>
        <w:t xml:space="preserve"> The student must remain enrolled in the same program of study (degree). This legacy eligibility continues for the lesser of three academic years or the student’s expected time to credential. Borrowers who withdraw or cease enrollment in their program of study are no longer eligible to borrow under the pre-July1, 2026, loan limits. When those students re-enroll, they will be subject to the new annual and aggregate loan limits. </w:t>
      </w:r>
    </w:p>
    <w:p w14:paraId="13237D9F" w14:textId="6022650A" w:rsidR="00E04390" w:rsidRPr="00E04390" w:rsidRDefault="00E04390" w:rsidP="00E04390">
      <w:pPr>
        <w:rPr>
          <w:rFonts w:ascii="Calibri" w:hAnsi="Calibri" w:cs="Calibri"/>
          <w:b/>
          <w:bCs/>
          <w:sz w:val="28"/>
          <w:szCs w:val="28"/>
        </w:rPr>
      </w:pPr>
      <w:r w:rsidRPr="00E04390">
        <w:rPr>
          <w:rFonts w:ascii="Calibri" w:hAnsi="Calibri" w:cs="Calibri"/>
          <w:b/>
          <w:bCs/>
          <w:sz w:val="28"/>
          <w:szCs w:val="28"/>
        </w:rPr>
        <w:t>Graduate and Professional Students</w:t>
      </w:r>
    </w:p>
    <w:p w14:paraId="60F860EA" w14:textId="1CBF1F03" w:rsidR="00E04390" w:rsidRPr="00E04390" w:rsidRDefault="00E04390" w:rsidP="00E04390">
      <w:pPr>
        <w:rPr>
          <w:rFonts w:ascii="Calibri" w:hAnsi="Calibri" w:cs="Calibri"/>
        </w:rPr>
      </w:pPr>
      <w:r w:rsidRPr="00E04390">
        <w:rPr>
          <w:rFonts w:ascii="Calibri" w:hAnsi="Calibri" w:cs="Calibri"/>
        </w:rPr>
        <w:t xml:space="preserve">The Federal Direct Graduate PLUS Loan is being eliminated beginning July 1, 2026. </w:t>
      </w:r>
    </w:p>
    <w:p w14:paraId="3F6A7C7F" w14:textId="4D352586" w:rsidR="00E04390" w:rsidRPr="00E04390" w:rsidRDefault="00E04390" w:rsidP="00E04390">
      <w:pPr>
        <w:rPr>
          <w:rFonts w:ascii="Calibri" w:hAnsi="Calibri" w:cs="Calibri"/>
        </w:rPr>
      </w:pPr>
      <w:r w:rsidRPr="00E04390">
        <w:rPr>
          <w:rFonts w:ascii="Calibri" w:hAnsi="Calibri" w:cs="Calibri"/>
        </w:rPr>
        <w:t>Under the legacy provision, graduate or professional students who borrowed a Federal Direct Loan, including parent and graduate PLUS loans, that disbursed before July 1, 2026, may still be able to apply and/or to continue borrowing a graduate PLUS loan with no changes in eligibility of their graduate PLUS annual loan limits.</w:t>
      </w:r>
    </w:p>
    <w:p w14:paraId="7336F385" w14:textId="77777777" w:rsidR="00E04390" w:rsidRPr="00E04390" w:rsidRDefault="00E04390" w:rsidP="00E04390">
      <w:pPr>
        <w:rPr>
          <w:rFonts w:ascii="Calibri" w:hAnsi="Calibri" w:cs="Calibri"/>
        </w:rPr>
      </w:pPr>
      <w:r w:rsidRPr="00E04390">
        <w:rPr>
          <w:rFonts w:ascii="Calibri" w:hAnsi="Calibri" w:cs="Calibri"/>
        </w:rPr>
        <w:lastRenderedPageBreak/>
        <w:t>The aggregate limit for graduate and professional students does not include undergraduate borrowing.</w:t>
      </w:r>
    </w:p>
    <w:p w14:paraId="1E2917ED" w14:textId="77777777" w:rsidR="00E04390" w:rsidRPr="00E04390" w:rsidRDefault="00E04390" w:rsidP="00E04390">
      <w:pPr>
        <w:rPr>
          <w:rFonts w:ascii="Calibri" w:hAnsi="Calibri" w:cs="Calibri"/>
          <w:sz w:val="22"/>
          <w:szCs w:val="22"/>
        </w:rPr>
      </w:pPr>
    </w:p>
    <w:p w14:paraId="29879413" w14:textId="77777777" w:rsidR="00E04390" w:rsidRPr="00E04390" w:rsidRDefault="00E04390" w:rsidP="00E04390">
      <w:pPr>
        <w:rPr>
          <w:rFonts w:ascii="Calibri" w:hAnsi="Calibri" w:cs="Calibri"/>
          <w:b/>
          <w:bCs/>
          <w:sz w:val="28"/>
          <w:szCs w:val="28"/>
        </w:rPr>
      </w:pPr>
      <w:r w:rsidRPr="00E04390">
        <w:rPr>
          <w:rFonts w:ascii="Calibri" w:hAnsi="Calibri" w:cs="Calibri"/>
          <w:b/>
          <w:bCs/>
          <w:sz w:val="28"/>
          <w:szCs w:val="28"/>
        </w:rPr>
        <w:t>Graduate Students</w:t>
      </w:r>
    </w:p>
    <w:p w14:paraId="5148607D" w14:textId="77777777" w:rsidR="00E04390" w:rsidRPr="00E04390" w:rsidRDefault="00E04390" w:rsidP="00E04390">
      <w:pPr>
        <w:rPr>
          <w:rFonts w:ascii="Calibri" w:hAnsi="Calibri" w:cs="Calibri"/>
        </w:rPr>
      </w:pPr>
      <w:r w:rsidRPr="00E04390">
        <w:rPr>
          <w:rFonts w:ascii="Calibri" w:hAnsi="Calibri" w:cs="Calibri"/>
        </w:rPr>
        <w:t xml:space="preserve">Graduate students who borrow an unsubsidized loan on or after July 1, </w:t>
      </w:r>
      <w:proofErr w:type="gramStart"/>
      <w:r w:rsidRPr="00E04390">
        <w:rPr>
          <w:rFonts w:ascii="Calibri" w:hAnsi="Calibri" w:cs="Calibri"/>
        </w:rPr>
        <w:t>2026</w:t>
      </w:r>
      <w:proofErr w:type="gramEnd"/>
      <w:r w:rsidRPr="00E04390">
        <w:rPr>
          <w:rFonts w:ascii="Calibri" w:hAnsi="Calibri" w:cs="Calibri"/>
        </w:rPr>
        <w:t xml:space="preserve"> may be able to borrow up to $20,500 annually with a graduate aggregate limit of up to $100,000.</w:t>
      </w:r>
    </w:p>
    <w:p w14:paraId="05753488" w14:textId="77777777" w:rsidR="00E04390" w:rsidRPr="00E04390" w:rsidRDefault="00E04390" w:rsidP="00E04390">
      <w:pPr>
        <w:rPr>
          <w:rFonts w:ascii="Calibri" w:hAnsi="Calibri" w:cs="Calibri"/>
          <w:b/>
          <w:bCs/>
          <w:sz w:val="28"/>
          <w:szCs w:val="28"/>
        </w:rPr>
      </w:pPr>
      <w:r w:rsidRPr="00E04390">
        <w:rPr>
          <w:rFonts w:ascii="Calibri" w:hAnsi="Calibri" w:cs="Calibri"/>
          <w:b/>
          <w:bCs/>
          <w:sz w:val="28"/>
          <w:szCs w:val="28"/>
        </w:rPr>
        <w:t>Professional Students</w:t>
      </w:r>
    </w:p>
    <w:p w14:paraId="7A69D538" w14:textId="14C4AC44" w:rsidR="00E04390" w:rsidRPr="00E04390" w:rsidRDefault="00E04390" w:rsidP="00E04390">
      <w:pPr>
        <w:rPr>
          <w:rFonts w:ascii="Calibri" w:hAnsi="Calibri" w:cs="Calibri"/>
        </w:rPr>
      </w:pPr>
      <w:r w:rsidRPr="00E04390">
        <w:rPr>
          <w:rFonts w:ascii="Calibri" w:hAnsi="Calibri" w:cs="Calibri"/>
        </w:rPr>
        <w:t xml:space="preserve">For loan eligibility, UC does not have any professional programs. </w:t>
      </w:r>
    </w:p>
    <w:p w14:paraId="4925CBD7" w14:textId="77777777" w:rsidR="00E04390" w:rsidRPr="00E04390" w:rsidRDefault="00E04390" w:rsidP="00E04390">
      <w:pPr>
        <w:rPr>
          <w:rFonts w:ascii="Calibri" w:hAnsi="Calibri" w:cs="Calibri"/>
        </w:rPr>
      </w:pPr>
      <w:r w:rsidRPr="00E04390">
        <w:rPr>
          <w:rFonts w:ascii="Calibri" w:hAnsi="Calibri" w:cs="Calibri"/>
        </w:rPr>
        <w:t>Students in professional programs may be able to borrow up to $50,000 annually with a professional aggregate limit of up to $200,000.</w:t>
      </w:r>
    </w:p>
    <w:p w14:paraId="75E6A27B" w14:textId="77777777" w:rsidR="00E04390" w:rsidRPr="00E04390" w:rsidRDefault="00E04390" w:rsidP="00E04390">
      <w:pPr>
        <w:rPr>
          <w:rFonts w:ascii="Calibri" w:hAnsi="Calibri" w:cs="Calibri"/>
        </w:rPr>
      </w:pPr>
      <w:r w:rsidRPr="00E04390">
        <w:rPr>
          <w:rFonts w:ascii="Calibri" w:hAnsi="Calibri" w:cs="Calibri"/>
        </w:rPr>
        <w:t>Under the legacy provision, students who have borrowed a Federal Direct Loan that disbursed before July 1, 2026, may be able to continue borrowing with no changes in eligibility to their annual limit for an unsubsidized loan. Professional students who qualify for the legacy provisions are not eligible for the revised unsubsidized loan limits.</w:t>
      </w:r>
    </w:p>
    <w:p w14:paraId="5238E544" w14:textId="77777777" w:rsidR="00E04390" w:rsidRPr="00E04390" w:rsidRDefault="00E04390" w:rsidP="00E04390">
      <w:pPr>
        <w:rPr>
          <w:rFonts w:ascii="Calibri" w:hAnsi="Calibri" w:cs="Calibri"/>
          <w:b/>
          <w:bCs/>
          <w:sz w:val="28"/>
          <w:szCs w:val="28"/>
        </w:rPr>
      </w:pPr>
      <w:r w:rsidRPr="00E04390">
        <w:rPr>
          <w:rFonts w:ascii="Calibri" w:hAnsi="Calibri" w:cs="Calibri"/>
          <w:b/>
          <w:bCs/>
          <w:sz w:val="28"/>
          <w:szCs w:val="28"/>
        </w:rPr>
        <w:t>Other Loan Changes</w:t>
      </w:r>
    </w:p>
    <w:p w14:paraId="6BC052FE" w14:textId="77777777" w:rsidR="00E04390" w:rsidRPr="00E04390" w:rsidRDefault="00E04390" w:rsidP="00E04390">
      <w:pPr>
        <w:rPr>
          <w:rFonts w:ascii="Calibri" w:hAnsi="Calibri" w:cs="Calibri"/>
        </w:rPr>
      </w:pPr>
      <w:r w:rsidRPr="00E04390">
        <w:rPr>
          <w:rFonts w:ascii="Calibri" w:hAnsi="Calibri" w:cs="Calibri"/>
        </w:rPr>
        <w:t>Annual loan amounts will be adjusted based on actual enrollment (if less than full-time in degree-pursuant coursework) for both undergraduate and graduate/professional students. This may result in a reduction of federal loan eligibility for a student enrolled less than full-time for the academic year. More information on this change is not yet available.</w:t>
      </w:r>
    </w:p>
    <w:p w14:paraId="538563DD" w14:textId="77777777" w:rsidR="00E04390" w:rsidRPr="00E04390" w:rsidRDefault="00E04390" w:rsidP="00E04390">
      <w:pPr>
        <w:rPr>
          <w:rFonts w:ascii="Calibri" w:hAnsi="Calibri" w:cs="Calibri"/>
          <w:b/>
          <w:bCs/>
          <w:i/>
          <w:iCs/>
          <w:sz w:val="22"/>
          <w:szCs w:val="22"/>
        </w:rPr>
      </w:pPr>
      <w:r w:rsidRPr="00E04390">
        <w:rPr>
          <w:rFonts w:ascii="Calibri" w:hAnsi="Calibri" w:cs="Calibri"/>
          <w:b/>
          <w:bCs/>
          <w:i/>
          <w:iCs/>
          <w:sz w:val="22"/>
          <w:szCs w:val="22"/>
        </w:rPr>
        <w:t>OBBB sets the aggregate borrowing limit on all federal student loans (excluding parent PLUS loans borrowed on a student’s behalf) to $257,500 ($57,500 as an undergraduate student).</w:t>
      </w:r>
    </w:p>
    <w:p w14:paraId="38079491" w14:textId="5FB5D954" w:rsidR="00E04390" w:rsidRPr="00E04390" w:rsidRDefault="00E04390" w:rsidP="00E04390">
      <w:pPr>
        <w:rPr>
          <w:rFonts w:ascii="Calibri" w:hAnsi="Calibri" w:cs="Calibri"/>
          <w:b/>
          <w:bCs/>
          <w:sz w:val="28"/>
          <w:szCs w:val="28"/>
        </w:rPr>
      </w:pPr>
      <w:r w:rsidRPr="00E04390">
        <w:rPr>
          <w:rFonts w:ascii="Calibri" w:hAnsi="Calibri" w:cs="Calibri"/>
          <w:b/>
          <w:bCs/>
          <w:sz w:val="28"/>
          <w:szCs w:val="28"/>
        </w:rPr>
        <w:t>Legacy Provision for Loan Eligibility</w:t>
      </w:r>
    </w:p>
    <w:p w14:paraId="15DB469C" w14:textId="77777777" w:rsidR="00E04390" w:rsidRPr="00E04390" w:rsidRDefault="00E04390" w:rsidP="00E04390">
      <w:pPr>
        <w:rPr>
          <w:rFonts w:ascii="Calibri" w:hAnsi="Calibri" w:cs="Calibri"/>
        </w:rPr>
      </w:pPr>
      <w:r w:rsidRPr="00E04390">
        <w:rPr>
          <w:rFonts w:ascii="Calibri" w:hAnsi="Calibri" w:cs="Calibri"/>
        </w:rPr>
        <w:t>To qualify under the legacy provision rules built into OBBB, a student and/or parent must be a federal direct loan borrower of a loan that disbursed before July 1, 2026.</w:t>
      </w:r>
    </w:p>
    <w:p w14:paraId="312A35B8" w14:textId="4C9595DD" w:rsidR="00E04390" w:rsidRPr="003352C1" w:rsidRDefault="00E04390" w:rsidP="00E04390">
      <w:pPr>
        <w:rPr>
          <w:rFonts w:ascii="Calibri" w:hAnsi="Calibri" w:cs="Calibri"/>
        </w:rPr>
      </w:pPr>
      <w:r w:rsidRPr="003352C1">
        <w:rPr>
          <w:rFonts w:ascii="Calibri" w:hAnsi="Calibri" w:cs="Calibri"/>
        </w:rPr>
        <w:t xml:space="preserve">Additionally, the student must remain continuously enrolled in the same program at the same </w:t>
      </w:r>
      <w:r w:rsidR="003352C1" w:rsidRPr="003352C1">
        <w:rPr>
          <w:rFonts w:ascii="Calibri" w:hAnsi="Calibri" w:cs="Calibri"/>
        </w:rPr>
        <w:t>school.</w:t>
      </w:r>
      <w:r w:rsidRPr="003352C1">
        <w:rPr>
          <w:rFonts w:ascii="Calibri" w:hAnsi="Calibri" w:cs="Calibri"/>
        </w:rPr>
        <w:t xml:space="preserve"> If a student changes programs or withdraws, the student and/or parent borrower will be subject to the new annual and aggregate limits outlined in OBBB.</w:t>
      </w:r>
    </w:p>
    <w:p w14:paraId="3B5B9D46" w14:textId="77777777" w:rsidR="00E04390" w:rsidRPr="003352C1" w:rsidRDefault="00E04390" w:rsidP="003352C1">
      <w:pPr>
        <w:pStyle w:val="ListParagraph"/>
        <w:numPr>
          <w:ilvl w:val="0"/>
          <w:numId w:val="1"/>
        </w:numPr>
        <w:rPr>
          <w:rFonts w:ascii="Calibri" w:hAnsi="Calibri" w:cs="Calibri"/>
        </w:rPr>
      </w:pPr>
      <w:r w:rsidRPr="003352C1">
        <w:rPr>
          <w:rFonts w:ascii="Calibri" w:hAnsi="Calibri" w:cs="Calibri"/>
        </w:rPr>
        <w:t>An undergraduate student in an associate program who changes to a bachelor’s program would be subject to the new regulations outlined in OBBB.</w:t>
      </w:r>
    </w:p>
    <w:p w14:paraId="44AD6092" w14:textId="77777777" w:rsidR="00E04390" w:rsidRPr="003352C1" w:rsidRDefault="00E04390" w:rsidP="003352C1">
      <w:pPr>
        <w:pStyle w:val="ListParagraph"/>
        <w:numPr>
          <w:ilvl w:val="0"/>
          <w:numId w:val="1"/>
        </w:numPr>
        <w:rPr>
          <w:rFonts w:ascii="Calibri" w:hAnsi="Calibri" w:cs="Calibri"/>
        </w:rPr>
      </w:pPr>
      <w:r w:rsidRPr="003352C1">
        <w:rPr>
          <w:rFonts w:ascii="Calibri" w:hAnsi="Calibri" w:cs="Calibri"/>
        </w:rPr>
        <w:t>An undergraduate student in a bachelor’s program may change majors and still be considered in the same academic program, as long as the student is at the same school and maintains continuous enrollment.</w:t>
      </w:r>
    </w:p>
    <w:p w14:paraId="4A5E8838" w14:textId="77777777" w:rsidR="00E04390" w:rsidRPr="003352C1" w:rsidRDefault="00E04390" w:rsidP="003352C1">
      <w:pPr>
        <w:pStyle w:val="ListParagraph"/>
        <w:numPr>
          <w:ilvl w:val="0"/>
          <w:numId w:val="1"/>
        </w:numPr>
        <w:rPr>
          <w:rFonts w:ascii="Calibri" w:hAnsi="Calibri" w:cs="Calibri"/>
        </w:rPr>
      </w:pPr>
      <w:r w:rsidRPr="003352C1">
        <w:rPr>
          <w:rFonts w:ascii="Calibri" w:hAnsi="Calibri" w:cs="Calibri"/>
        </w:rPr>
        <w:t>A graduate student who changes majors would lose their legacy eligibility and be subject to the new annual and aggregate limits outlined in OBBB.</w:t>
      </w:r>
    </w:p>
    <w:p w14:paraId="0BF8D88E" w14:textId="279CBB9D" w:rsidR="00356005" w:rsidRPr="00E04390" w:rsidRDefault="00E04390" w:rsidP="00E04390">
      <w:pPr>
        <w:rPr>
          <w:rFonts w:ascii="Calibri" w:hAnsi="Calibri" w:cs="Calibri"/>
        </w:rPr>
      </w:pPr>
      <w:r w:rsidRPr="00E04390">
        <w:rPr>
          <w:rFonts w:ascii="Calibri" w:hAnsi="Calibri" w:cs="Calibri"/>
        </w:rPr>
        <w:lastRenderedPageBreak/>
        <w:t>Legacy eligibility under these rules extends for up to 3 academic years or until the current degree is completed — whichever comes first. Qualified students and parents may not opt out of the legacy provision.</w:t>
      </w:r>
    </w:p>
    <w:sectPr w:rsidR="00356005" w:rsidRPr="00E04390" w:rsidSect="00D70DE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B4CBE"/>
    <w:multiLevelType w:val="hybridMultilevel"/>
    <w:tmpl w:val="19729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426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005"/>
    <w:rsid w:val="00171203"/>
    <w:rsid w:val="001F11C2"/>
    <w:rsid w:val="002F726B"/>
    <w:rsid w:val="0030076E"/>
    <w:rsid w:val="003352C1"/>
    <w:rsid w:val="00356005"/>
    <w:rsid w:val="00481080"/>
    <w:rsid w:val="007A0564"/>
    <w:rsid w:val="009F6B71"/>
    <w:rsid w:val="00B716CF"/>
    <w:rsid w:val="00D70DE2"/>
    <w:rsid w:val="00E04390"/>
    <w:rsid w:val="00EC798C"/>
    <w:rsid w:val="00FB0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E3063"/>
  <w15:chartTrackingRefBased/>
  <w15:docId w15:val="{8BA96A5B-3E40-44C4-A05D-363147F5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60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0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0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0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0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0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0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0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0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0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0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0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0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0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0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0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0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005"/>
    <w:rPr>
      <w:rFonts w:eastAsiaTheme="majorEastAsia" w:cstheme="majorBidi"/>
      <w:color w:val="272727" w:themeColor="text1" w:themeTint="D8"/>
    </w:rPr>
  </w:style>
  <w:style w:type="paragraph" w:styleId="Title">
    <w:name w:val="Title"/>
    <w:basedOn w:val="Normal"/>
    <w:next w:val="Normal"/>
    <w:link w:val="TitleChar"/>
    <w:uiPriority w:val="10"/>
    <w:qFormat/>
    <w:rsid w:val="003560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0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0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005"/>
    <w:pPr>
      <w:spacing w:before="160"/>
      <w:jc w:val="center"/>
    </w:pPr>
    <w:rPr>
      <w:i/>
      <w:iCs/>
      <w:color w:val="404040" w:themeColor="text1" w:themeTint="BF"/>
    </w:rPr>
  </w:style>
  <w:style w:type="character" w:customStyle="1" w:styleId="QuoteChar">
    <w:name w:val="Quote Char"/>
    <w:basedOn w:val="DefaultParagraphFont"/>
    <w:link w:val="Quote"/>
    <w:uiPriority w:val="29"/>
    <w:rsid w:val="00356005"/>
    <w:rPr>
      <w:i/>
      <w:iCs/>
      <w:color w:val="404040" w:themeColor="text1" w:themeTint="BF"/>
    </w:rPr>
  </w:style>
  <w:style w:type="paragraph" w:styleId="ListParagraph">
    <w:name w:val="List Paragraph"/>
    <w:basedOn w:val="Normal"/>
    <w:uiPriority w:val="34"/>
    <w:qFormat/>
    <w:rsid w:val="00356005"/>
    <w:pPr>
      <w:ind w:left="720"/>
      <w:contextualSpacing/>
    </w:pPr>
  </w:style>
  <w:style w:type="character" w:styleId="IntenseEmphasis">
    <w:name w:val="Intense Emphasis"/>
    <w:basedOn w:val="DefaultParagraphFont"/>
    <w:uiPriority w:val="21"/>
    <w:qFormat/>
    <w:rsid w:val="00356005"/>
    <w:rPr>
      <w:i/>
      <w:iCs/>
      <w:color w:val="0F4761" w:themeColor="accent1" w:themeShade="BF"/>
    </w:rPr>
  </w:style>
  <w:style w:type="paragraph" w:styleId="IntenseQuote">
    <w:name w:val="Intense Quote"/>
    <w:basedOn w:val="Normal"/>
    <w:next w:val="Normal"/>
    <w:link w:val="IntenseQuoteChar"/>
    <w:uiPriority w:val="30"/>
    <w:qFormat/>
    <w:rsid w:val="00356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005"/>
    <w:rPr>
      <w:i/>
      <w:iCs/>
      <w:color w:val="0F4761" w:themeColor="accent1" w:themeShade="BF"/>
    </w:rPr>
  </w:style>
  <w:style w:type="character" w:styleId="IntenseReference">
    <w:name w:val="Intense Reference"/>
    <w:basedOn w:val="DefaultParagraphFont"/>
    <w:uiPriority w:val="32"/>
    <w:qFormat/>
    <w:rsid w:val="00356005"/>
    <w:rPr>
      <w:b/>
      <w:bCs/>
      <w:smallCaps/>
      <w:color w:val="0F4761" w:themeColor="accent1" w:themeShade="BF"/>
      <w:spacing w:val="5"/>
    </w:rPr>
  </w:style>
  <w:style w:type="character" w:styleId="Hyperlink">
    <w:name w:val="Hyperlink"/>
    <w:basedOn w:val="DefaultParagraphFont"/>
    <w:uiPriority w:val="99"/>
    <w:unhideWhenUsed/>
    <w:rsid w:val="00356005"/>
    <w:rPr>
      <w:color w:val="467886" w:themeColor="hyperlink"/>
      <w:u w:val="single"/>
    </w:rPr>
  </w:style>
  <w:style w:type="character" w:styleId="UnresolvedMention">
    <w:name w:val="Unresolved Mention"/>
    <w:basedOn w:val="DefaultParagraphFont"/>
    <w:uiPriority w:val="99"/>
    <w:semiHidden/>
    <w:unhideWhenUsed/>
    <w:rsid w:val="00356005"/>
    <w:rPr>
      <w:color w:val="605E5C"/>
      <w:shd w:val="clear" w:color="auto" w:fill="E1DFDD"/>
    </w:rPr>
  </w:style>
  <w:style w:type="character" w:styleId="FollowedHyperlink">
    <w:name w:val="FollowedHyperlink"/>
    <w:basedOn w:val="DefaultParagraphFont"/>
    <w:uiPriority w:val="99"/>
    <w:semiHidden/>
    <w:unhideWhenUsed/>
    <w:rsid w:val="00D70DE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udentaid.gov/announcements-events/big-upda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Tomczyk, Christine</dc:creator>
  <cp:keywords/>
  <dc:description/>
  <cp:lastModifiedBy>Tomczyk, Christine</cp:lastModifiedBy>
  <cp:revision>2</cp:revision>
  <cp:lastPrinted>2026-02-10T14:53:00Z</cp:lastPrinted>
  <dcterms:created xsi:type="dcterms:W3CDTF">2026-03-03T13:42:00Z</dcterms:created>
  <dcterms:modified xsi:type="dcterms:W3CDTF">2026-03-03T13:42:00Z</dcterms:modified>
</cp:coreProperties>
</file>